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2EA5" w14:textId="40062A3F" w:rsidR="00F772C3" w:rsidRPr="00151AC1" w:rsidRDefault="008B0197">
      <w:pPr>
        <w:rPr>
          <w:rFonts w:ascii="Arial" w:hAnsi="Arial" w:cs="Arial"/>
          <w:b/>
          <w:sz w:val="20"/>
          <w:szCs w:val="20"/>
        </w:rPr>
      </w:pPr>
      <w:proofErr w:type="spellStart"/>
      <w:r w:rsidRPr="00151AC1">
        <w:rPr>
          <w:rFonts w:ascii="Arial" w:hAnsi="Arial" w:cs="Arial"/>
          <w:b/>
          <w:sz w:val="20"/>
          <w:szCs w:val="20"/>
        </w:rPr>
        <w:t>VCC</w:t>
      </w:r>
      <w:proofErr w:type="spellEnd"/>
      <w:r w:rsidRPr="00151AC1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Pr="00151AC1">
        <w:rPr>
          <w:rFonts w:ascii="Arial" w:hAnsi="Arial" w:cs="Arial"/>
          <w:b/>
          <w:sz w:val="20"/>
          <w:szCs w:val="20"/>
        </w:rPr>
        <w:t xml:space="preserve">Report on use of proceeds from the public offering </w:t>
      </w:r>
    </w:p>
    <w:bookmarkEnd w:id="0"/>
    <w:p w14:paraId="478F9ABD" w14:textId="74A521F1" w:rsidR="008B0197" w:rsidRDefault="008B0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30/01/2019, </w:t>
      </w:r>
      <w:proofErr w:type="spellStart"/>
      <w:r>
        <w:rPr>
          <w:rFonts w:ascii="Arial" w:hAnsi="Arial" w:cs="Arial"/>
          <w:sz w:val="20"/>
          <w:szCs w:val="20"/>
        </w:rPr>
        <w:t>Vinaconex</w:t>
      </w:r>
      <w:proofErr w:type="spellEnd"/>
      <w:r>
        <w:rPr>
          <w:rFonts w:ascii="Arial" w:hAnsi="Arial" w:cs="Arial"/>
          <w:sz w:val="20"/>
          <w:szCs w:val="20"/>
        </w:rPr>
        <w:t xml:space="preserve"> 25 Joint Stock Company announced the report on use of proceeds from the public offering as follows: </w:t>
      </w:r>
    </w:p>
    <w:p w14:paraId="7E1415A8" w14:textId="188BF874" w:rsidR="008B0197" w:rsidRPr="00151AC1" w:rsidRDefault="008B0197">
      <w:pPr>
        <w:rPr>
          <w:rFonts w:ascii="Arial" w:hAnsi="Arial" w:cs="Arial"/>
          <w:b/>
          <w:sz w:val="20"/>
          <w:szCs w:val="20"/>
        </w:rPr>
      </w:pPr>
      <w:r w:rsidRPr="00151AC1">
        <w:rPr>
          <w:rFonts w:ascii="Arial" w:hAnsi="Arial" w:cs="Arial"/>
          <w:b/>
          <w:sz w:val="20"/>
          <w:szCs w:val="20"/>
        </w:rPr>
        <w:t xml:space="preserve">Contents: </w:t>
      </w:r>
    </w:p>
    <w:p w14:paraId="4CC73017" w14:textId="5547B366" w:rsidR="008B0197" w:rsidRDefault="008B0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Name of issuer: </w:t>
      </w:r>
      <w:proofErr w:type="spellStart"/>
      <w:r>
        <w:rPr>
          <w:rFonts w:ascii="Arial" w:hAnsi="Arial" w:cs="Arial"/>
          <w:sz w:val="20"/>
          <w:szCs w:val="20"/>
        </w:rPr>
        <w:t>Vinaconex</w:t>
      </w:r>
      <w:proofErr w:type="spellEnd"/>
      <w:r>
        <w:rPr>
          <w:rFonts w:ascii="Arial" w:hAnsi="Arial" w:cs="Arial"/>
          <w:sz w:val="20"/>
          <w:szCs w:val="20"/>
        </w:rPr>
        <w:t xml:space="preserve"> 25 Joint Stock Company </w:t>
      </w:r>
    </w:p>
    <w:p w14:paraId="3ABA385B" w14:textId="7212E86E" w:rsidR="008B0197" w:rsidRDefault="008B0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Address of head office: No.89A, Phan Dang </w:t>
      </w:r>
      <w:proofErr w:type="spellStart"/>
      <w:r>
        <w:rPr>
          <w:rFonts w:ascii="Arial" w:hAnsi="Arial" w:cs="Arial"/>
          <w:sz w:val="20"/>
          <w:szCs w:val="20"/>
        </w:rPr>
        <w:t>Luu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Cuong</w:t>
      </w:r>
      <w:proofErr w:type="spellEnd"/>
      <w:r>
        <w:rPr>
          <w:rFonts w:ascii="Arial" w:hAnsi="Arial" w:cs="Arial"/>
          <w:sz w:val="20"/>
          <w:szCs w:val="20"/>
        </w:rPr>
        <w:t xml:space="preserve"> Nam Ward, Hai Chau District, Da Nang City </w:t>
      </w:r>
    </w:p>
    <w:p w14:paraId="5A6BC43D" w14:textId="622A007B" w:rsidR="008B0197" w:rsidRDefault="008B0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Tel: 0236 362 </w:t>
      </w:r>
      <w:r w:rsidR="00B47EC7">
        <w:rPr>
          <w:rFonts w:ascii="Arial" w:hAnsi="Arial" w:cs="Arial"/>
          <w:sz w:val="20"/>
          <w:szCs w:val="20"/>
        </w:rPr>
        <w:t xml:space="preserve">1633            Fax: 0236 362 1638 </w:t>
      </w:r>
    </w:p>
    <w:p w14:paraId="006152A4" w14:textId="3467B43C" w:rsidR="00B47EC7" w:rsidRPr="00151AC1" w:rsidRDefault="00B47EC7">
      <w:pPr>
        <w:rPr>
          <w:rFonts w:ascii="Arial" w:hAnsi="Arial" w:cs="Arial"/>
          <w:b/>
          <w:sz w:val="20"/>
          <w:szCs w:val="20"/>
        </w:rPr>
      </w:pPr>
      <w:r w:rsidRPr="00151AC1">
        <w:rPr>
          <w:rFonts w:ascii="Arial" w:hAnsi="Arial" w:cs="Arial"/>
          <w:b/>
          <w:sz w:val="20"/>
          <w:szCs w:val="20"/>
        </w:rPr>
        <w:t xml:space="preserve">I. Share </w:t>
      </w:r>
    </w:p>
    <w:p w14:paraId="097A1EA4" w14:textId="68B5C5A5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Name of share: share of </w:t>
      </w:r>
      <w:proofErr w:type="spellStart"/>
      <w:r>
        <w:rPr>
          <w:rFonts w:ascii="Arial" w:hAnsi="Arial" w:cs="Arial"/>
          <w:sz w:val="20"/>
          <w:szCs w:val="20"/>
        </w:rPr>
        <w:t>Vinaconex</w:t>
      </w:r>
      <w:proofErr w:type="spellEnd"/>
      <w:r>
        <w:rPr>
          <w:rFonts w:ascii="Arial" w:hAnsi="Arial" w:cs="Arial"/>
          <w:sz w:val="20"/>
          <w:szCs w:val="20"/>
        </w:rPr>
        <w:t xml:space="preserve"> 25 Joint Stock Company </w:t>
      </w:r>
    </w:p>
    <w:p w14:paraId="206C374A" w14:textId="1798FC5F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Type of share: common share </w:t>
      </w:r>
    </w:p>
    <w:p w14:paraId="63167D1C" w14:textId="72E52518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Par value: VND 10,000/ share </w:t>
      </w:r>
    </w:p>
    <w:p w14:paraId="5BCCF7DD" w14:textId="4B3AE43F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Number of shares issued: 6,000,000 shares </w:t>
      </w:r>
    </w:p>
    <w:p w14:paraId="2D5330A3" w14:textId="65FD0C56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Total amount of capital expected to be mobilized: VND 60,000,000,000</w:t>
      </w:r>
    </w:p>
    <w:p w14:paraId="37CF31F5" w14:textId="01E712BE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Starting date: 26 Dec 2016 </w:t>
      </w:r>
    </w:p>
    <w:p w14:paraId="18C6C5DD" w14:textId="4C187C8F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Finishing date: 15 Feb 2017 </w:t>
      </w:r>
    </w:p>
    <w:p w14:paraId="626F58CF" w14:textId="73495672" w:rsidR="00B47EC7" w:rsidRPr="00151AC1" w:rsidRDefault="00B47EC7">
      <w:pPr>
        <w:rPr>
          <w:rFonts w:ascii="Arial" w:hAnsi="Arial" w:cs="Arial"/>
          <w:b/>
          <w:sz w:val="20"/>
          <w:szCs w:val="20"/>
        </w:rPr>
      </w:pPr>
      <w:r w:rsidRPr="00151AC1">
        <w:rPr>
          <w:rFonts w:ascii="Arial" w:hAnsi="Arial" w:cs="Arial"/>
          <w:b/>
          <w:sz w:val="20"/>
          <w:szCs w:val="20"/>
        </w:rPr>
        <w:t xml:space="preserve">II. Plan on use of proceeds from the public offering </w:t>
      </w:r>
    </w:p>
    <w:p w14:paraId="5F863618" w14:textId="25DE2159" w:rsidR="00B47EC7" w:rsidRDefault="00B47E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Plan on use of proceeds: </w:t>
      </w:r>
    </w:p>
    <w:p w14:paraId="55B21857" w14:textId="2CCC6C23" w:rsidR="00B47EC7" w:rsidRDefault="00566F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Total amount of proceeds from the share issuance: VND 60,000,000,000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724"/>
        <w:gridCol w:w="3087"/>
      </w:tblGrid>
      <w:tr w:rsidR="00566FCD" w:rsidRPr="00566FCD" w14:paraId="48CE6E3A" w14:textId="77777777" w:rsidTr="00566FCD">
        <w:tc>
          <w:tcPr>
            <w:tcW w:w="421" w:type="dxa"/>
          </w:tcPr>
          <w:p w14:paraId="57455D54" w14:textId="590CAF9A" w:rsidR="00566FCD" w:rsidRPr="00566FCD" w:rsidRDefault="00566FCD" w:rsidP="00566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FC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812" w:type="dxa"/>
          </w:tcPr>
          <w:p w14:paraId="1B1A3550" w14:textId="3F1B9416" w:rsidR="00566FCD" w:rsidRPr="00566FCD" w:rsidRDefault="00566FCD" w:rsidP="00566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FCD">
              <w:rPr>
                <w:rFonts w:ascii="Arial" w:hAnsi="Arial" w:cs="Arial"/>
                <w:b/>
                <w:sz w:val="20"/>
                <w:szCs w:val="20"/>
              </w:rPr>
              <w:t>Purpose of use of proceeds</w:t>
            </w:r>
          </w:p>
        </w:tc>
        <w:tc>
          <w:tcPr>
            <w:tcW w:w="3117" w:type="dxa"/>
          </w:tcPr>
          <w:p w14:paraId="577BF0B7" w14:textId="59F5A082" w:rsidR="00566FCD" w:rsidRPr="00566FCD" w:rsidRDefault="00566FCD" w:rsidP="00566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FCD">
              <w:rPr>
                <w:rFonts w:ascii="Arial" w:hAnsi="Arial" w:cs="Arial"/>
                <w:b/>
                <w:sz w:val="20"/>
                <w:szCs w:val="20"/>
              </w:rPr>
              <w:t>Amount (VND)</w:t>
            </w:r>
          </w:p>
        </w:tc>
      </w:tr>
      <w:tr w:rsidR="00566FCD" w14:paraId="79E309CA" w14:textId="77777777" w:rsidTr="00566FCD">
        <w:tc>
          <w:tcPr>
            <w:tcW w:w="421" w:type="dxa"/>
          </w:tcPr>
          <w:p w14:paraId="3267876E" w14:textId="56B97E3C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14:paraId="48C35111" w14:textId="7AE7637D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Investment project on infrastructure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Urban Zone </w:t>
            </w:r>
          </w:p>
        </w:tc>
        <w:tc>
          <w:tcPr>
            <w:tcW w:w="3117" w:type="dxa"/>
          </w:tcPr>
          <w:p w14:paraId="0809C54F" w14:textId="7458FC03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40,000,000,000</w:t>
            </w:r>
          </w:p>
        </w:tc>
      </w:tr>
      <w:tr w:rsidR="00566FCD" w14:paraId="11963FC3" w14:textId="77777777" w:rsidTr="00566FCD">
        <w:tc>
          <w:tcPr>
            <w:tcW w:w="421" w:type="dxa"/>
          </w:tcPr>
          <w:p w14:paraId="15FB7D07" w14:textId="17E4517C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6BF825B8" w14:textId="0C41F8E2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 and enhance the capacity of concrete factory </w:t>
            </w:r>
          </w:p>
        </w:tc>
        <w:tc>
          <w:tcPr>
            <w:tcW w:w="3117" w:type="dxa"/>
          </w:tcPr>
          <w:p w14:paraId="29CBFC2E" w14:textId="1088EF6C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20,000,000,000</w:t>
            </w:r>
          </w:p>
        </w:tc>
      </w:tr>
      <w:tr w:rsidR="00566FCD" w14:paraId="14D05ADE" w14:textId="77777777" w:rsidTr="00566FCD">
        <w:tc>
          <w:tcPr>
            <w:tcW w:w="421" w:type="dxa"/>
          </w:tcPr>
          <w:p w14:paraId="11FC216F" w14:textId="77777777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09B5427" w14:textId="4063F7B6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3117" w:type="dxa"/>
          </w:tcPr>
          <w:p w14:paraId="31F811D1" w14:textId="221785DD" w:rsidR="00566FCD" w:rsidRDefault="00566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60,000,000,000</w:t>
            </w:r>
          </w:p>
        </w:tc>
      </w:tr>
    </w:tbl>
    <w:p w14:paraId="395D5155" w14:textId="200CE94F" w:rsidR="00566FCD" w:rsidRDefault="00566FCD">
      <w:pPr>
        <w:rPr>
          <w:rFonts w:ascii="Arial" w:hAnsi="Arial" w:cs="Arial"/>
          <w:sz w:val="20"/>
          <w:szCs w:val="20"/>
        </w:rPr>
      </w:pPr>
    </w:p>
    <w:p w14:paraId="2A5F42F5" w14:textId="409CF114" w:rsidR="00566FCD" w:rsidRDefault="00566F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D3AF2">
        <w:rPr>
          <w:rFonts w:ascii="Arial" w:hAnsi="Arial" w:cs="Arial"/>
          <w:sz w:val="20"/>
          <w:szCs w:val="20"/>
        </w:rPr>
        <w:t xml:space="preserve">Progress of disbursement until currently </w:t>
      </w:r>
    </w:p>
    <w:p w14:paraId="5FD95C10" w14:textId="3008E900" w:rsidR="00CD3AF2" w:rsidRDefault="00CD3A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the plan on use of proceeds</w:t>
      </w:r>
      <w:r w:rsidR="00974186">
        <w:rPr>
          <w:rFonts w:ascii="Arial" w:hAnsi="Arial" w:cs="Arial"/>
          <w:sz w:val="20"/>
          <w:szCs w:val="20"/>
        </w:rPr>
        <w:t xml:space="preserve"> approved by</w:t>
      </w:r>
      <w:r>
        <w:rPr>
          <w:rFonts w:ascii="Arial" w:hAnsi="Arial" w:cs="Arial"/>
          <w:sz w:val="20"/>
          <w:szCs w:val="20"/>
        </w:rPr>
        <w:t xml:space="preserve"> General Meeting of Shareholders </w:t>
      </w:r>
      <w:r w:rsidR="00974186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the plan on use of proceeds from the share issuance </w:t>
      </w:r>
      <w:r w:rsidR="00974186">
        <w:rPr>
          <w:rFonts w:ascii="Arial" w:hAnsi="Arial" w:cs="Arial"/>
          <w:sz w:val="20"/>
          <w:szCs w:val="20"/>
        </w:rPr>
        <w:t xml:space="preserve">in the Prospectus of the public offering approved by the State Securities Commission of Vietnam, the Company used the </w:t>
      </w:r>
      <w:r w:rsidR="0055340F">
        <w:rPr>
          <w:rFonts w:ascii="Arial" w:hAnsi="Arial" w:cs="Arial"/>
          <w:sz w:val="20"/>
          <w:szCs w:val="20"/>
        </w:rPr>
        <w:t xml:space="preserve">amount of proceeds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724"/>
        <w:gridCol w:w="3087"/>
      </w:tblGrid>
      <w:tr w:rsidR="0055340F" w:rsidRPr="00566FCD" w14:paraId="598E934A" w14:textId="77777777" w:rsidTr="00BE39F1">
        <w:tc>
          <w:tcPr>
            <w:tcW w:w="421" w:type="dxa"/>
          </w:tcPr>
          <w:p w14:paraId="6848F2D8" w14:textId="77777777" w:rsidR="0055340F" w:rsidRPr="00566FCD" w:rsidRDefault="0055340F" w:rsidP="00BE3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FC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812" w:type="dxa"/>
          </w:tcPr>
          <w:p w14:paraId="519940E1" w14:textId="77777777" w:rsidR="0055340F" w:rsidRPr="00566FCD" w:rsidRDefault="0055340F" w:rsidP="00BE3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FCD">
              <w:rPr>
                <w:rFonts w:ascii="Arial" w:hAnsi="Arial" w:cs="Arial"/>
                <w:b/>
                <w:sz w:val="20"/>
                <w:szCs w:val="20"/>
              </w:rPr>
              <w:t>Purpose of use of proceeds</w:t>
            </w:r>
          </w:p>
        </w:tc>
        <w:tc>
          <w:tcPr>
            <w:tcW w:w="3117" w:type="dxa"/>
          </w:tcPr>
          <w:p w14:paraId="7F5ACD9A" w14:textId="77777777" w:rsidR="0055340F" w:rsidRPr="00566FCD" w:rsidRDefault="0055340F" w:rsidP="00BE3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FCD">
              <w:rPr>
                <w:rFonts w:ascii="Arial" w:hAnsi="Arial" w:cs="Arial"/>
                <w:b/>
                <w:sz w:val="20"/>
                <w:szCs w:val="20"/>
              </w:rPr>
              <w:t>Amount (VND)</w:t>
            </w:r>
          </w:p>
        </w:tc>
      </w:tr>
      <w:tr w:rsidR="0055340F" w:rsidRPr="00566FCD" w14:paraId="1E870B52" w14:textId="77777777" w:rsidTr="00BE39F1">
        <w:tc>
          <w:tcPr>
            <w:tcW w:w="421" w:type="dxa"/>
          </w:tcPr>
          <w:p w14:paraId="6F267340" w14:textId="71256F5D" w:rsidR="0055340F" w:rsidRPr="00566FCD" w:rsidRDefault="00C36E15" w:rsidP="00C36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812" w:type="dxa"/>
          </w:tcPr>
          <w:p w14:paraId="31205277" w14:textId="0C9205DB" w:rsidR="0055340F" w:rsidRPr="00566FCD" w:rsidRDefault="00C36E15" w:rsidP="00C36E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amount of proceeds from the share issuance </w:t>
            </w:r>
          </w:p>
        </w:tc>
        <w:tc>
          <w:tcPr>
            <w:tcW w:w="3117" w:type="dxa"/>
          </w:tcPr>
          <w:p w14:paraId="40086E94" w14:textId="2FA87A06" w:rsidR="0055340F" w:rsidRPr="00566FCD" w:rsidRDefault="00C36E15" w:rsidP="00BE3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60,000,000,000</w:t>
            </w:r>
          </w:p>
        </w:tc>
      </w:tr>
      <w:tr w:rsidR="0055340F" w:rsidRPr="00566FCD" w14:paraId="280096A5" w14:textId="77777777" w:rsidTr="00BE39F1">
        <w:tc>
          <w:tcPr>
            <w:tcW w:w="421" w:type="dxa"/>
          </w:tcPr>
          <w:p w14:paraId="38126909" w14:textId="3DEF341B" w:rsidR="0055340F" w:rsidRPr="00566FCD" w:rsidRDefault="00C36E15" w:rsidP="00BE3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5812" w:type="dxa"/>
          </w:tcPr>
          <w:p w14:paraId="355440F5" w14:textId="6C1DBD67" w:rsidR="0055340F" w:rsidRPr="00566FCD" w:rsidRDefault="00C36E15" w:rsidP="00C36E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amount disbursed </w:t>
            </w:r>
          </w:p>
        </w:tc>
        <w:tc>
          <w:tcPr>
            <w:tcW w:w="3117" w:type="dxa"/>
          </w:tcPr>
          <w:p w14:paraId="7C4CC3CD" w14:textId="0D7DBA98" w:rsidR="0055340F" w:rsidRPr="00566FCD" w:rsidRDefault="00C36E15" w:rsidP="00BE3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60,000,000,000</w:t>
            </w:r>
          </w:p>
        </w:tc>
      </w:tr>
      <w:tr w:rsidR="0055340F" w14:paraId="03112130" w14:textId="77777777" w:rsidTr="00BE39F1">
        <w:tc>
          <w:tcPr>
            <w:tcW w:w="421" w:type="dxa"/>
          </w:tcPr>
          <w:p w14:paraId="4DB571F2" w14:textId="25C3BF7A" w:rsidR="0055340F" w:rsidRDefault="00C36E15" w:rsidP="00BE3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812" w:type="dxa"/>
          </w:tcPr>
          <w:p w14:paraId="44E1389D" w14:textId="77777777" w:rsidR="0055340F" w:rsidRDefault="0055340F" w:rsidP="00BE3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Investment project on infrastructure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Urban Zone </w:t>
            </w:r>
          </w:p>
        </w:tc>
        <w:tc>
          <w:tcPr>
            <w:tcW w:w="3117" w:type="dxa"/>
          </w:tcPr>
          <w:p w14:paraId="0F45C7DD" w14:textId="77777777" w:rsidR="0055340F" w:rsidRDefault="0055340F" w:rsidP="00C36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40,000,000,000</w:t>
            </w:r>
          </w:p>
        </w:tc>
      </w:tr>
      <w:tr w:rsidR="0055340F" w14:paraId="504359F7" w14:textId="77777777" w:rsidTr="00BE39F1">
        <w:tc>
          <w:tcPr>
            <w:tcW w:w="421" w:type="dxa"/>
          </w:tcPr>
          <w:p w14:paraId="4332CEE2" w14:textId="3BB89A64" w:rsidR="0055340F" w:rsidRDefault="0055340F" w:rsidP="00BE3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6E1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812" w:type="dxa"/>
          </w:tcPr>
          <w:p w14:paraId="0F378089" w14:textId="77777777" w:rsidR="0055340F" w:rsidRDefault="0055340F" w:rsidP="00BE3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 and enhance the capacity of concrete factory </w:t>
            </w:r>
          </w:p>
        </w:tc>
        <w:tc>
          <w:tcPr>
            <w:tcW w:w="3117" w:type="dxa"/>
          </w:tcPr>
          <w:p w14:paraId="5F4AB660" w14:textId="77777777" w:rsidR="0055340F" w:rsidRDefault="0055340F" w:rsidP="00C36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20,000,000,000</w:t>
            </w:r>
          </w:p>
        </w:tc>
      </w:tr>
      <w:tr w:rsidR="0055340F" w:rsidRPr="00151AC1" w14:paraId="58E89569" w14:textId="77777777" w:rsidTr="00BE39F1">
        <w:tc>
          <w:tcPr>
            <w:tcW w:w="421" w:type="dxa"/>
          </w:tcPr>
          <w:p w14:paraId="42DF3172" w14:textId="29A5B6C3" w:rsidR="0055340F" w:rsidRPr="00151AC1" w:rsidRDefault="00C36E15" w:rsidP="00BE39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AC1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5812" w:type="dxa"/>
          </w:tcPr>
          <w:p w14:paraId="299E7589" w14:textId="617EB099" w:rsidR="0055340F" w:rsidRPr="00151AC1" w:rsidRDefault="00151AC1" w:rsidP="00BE39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AC1">
              <w:rPr>
                <w:rFonts w:ascii="Arial" w:hAnsi="Arial" w:cs="Arial"/>
                <w:b/>
                <w:sz w:val="20"/>
                <w:szCs w:val="20"/>
              </w:rPr>
              <w:t xml:space="preserve">Amount not disbursed </w:t>
            </w:r>
          </w:p>
          <w:p w14:paraId="5F10B0DE" w14:textId="77777777" w:rsidR="00062BBE" w:rsidRPr="00151AC1" w:rsidRDefault="00062BBE" w:rsidP="00BE3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8BEA8" w14:textId="3F0FDFFD" w:rsidR="00062BBE" w:rsidRPr="00151AC1" w:rsidRDefault="00062BBE" w:rsidP="00BE3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3E36D726" w14:textId="54CB3905" w:rsidR="0055340F" w:rsidRPr="00151AC1" w:rsidRDefault="00151AC1" w:rsidP="00C36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AC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DB8B75B" w14:textId="135761FD" w:rsidR="0055340F" w:rsidRDefault="0055340F" w:rsidP="0055340F">
      <w:pPr>
        <w:rPr>
          <w:rFonts w:ascii="Arial" w:hAnsi="Arial" w:cs="Arial"/>
          <w:sz w:val="20"/>
          <w:szCs w:val="20"/>
        </w:rPr>
      </w:pPr>
    </w:p>
    <w:p w14:paraId="1A56F357" w14:textId="6FCB6FAA" w:rsidR="00151AC1" w:rsidRDefault="00151AC1" w:rsidP="00553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Changes, adjustments (if any0 and reason for adjustment: None </w:t>
      </w:r>
    </w:p>
    <w:p w14:paraId="60DF68A9" w14:textId="77777777" w:rsidR="0055340F" w:rsidRPr="008B0197" w:rsidRDefault="0055340F">
      <w:pPr>
        <w:rPr>
          <w:rFonts w:ascii="Arial" w:hAnsi="Arial" w:cs="Arial"/>
          <w:sz w:val="20"/>
          <w:szCs w:val="20"/>
        </w:rPr>
      </w:pPr>
    </w:p>
    <w:sectPr w:rsidR="0055340F" w:rsidRPr="008B0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97"/>
    <w:rsid w:val="00062BBE"/>
    <w:rsid w:val="00151AC1"/>
    <w:rsid w:val="0055340F"/>
    <w:rsid w:val="00566FCD"/>
    <w:rsid w:val="00730308"/>
    <w:rsid w:val="008B0197"/>
    <w:rsid w:val="00974186"/>
    <w:rsid w:val="009D24B4"/>
    <w:rsid w:val="00B47EC7"/>
    <w:rsid w:val="00C36E15"/>
    <w:rsid w:val="00CA2C09"/>
    <w:rsid w:val="00CD3AF2"/>
    <w:rsid w:val="00F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42F1E"/>
  <w15:chartTrackingRefBased/>
  <w15:docId w15:val="{017661E2-8ADF-4E3B-9E74-E5348C62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nht</dc:creator>
  <cp:keywords/>
  <dc:description/>
  <cp:lastModifiedBy>nht</cp:lastModifiedBy>
  <cp:revision>2</cp:revision>
  <dcterms:created xsi:type="dcterms:W3CDTF">2019-02-05T14:22:00Z</dcterms:created>
  <dcterms:modified xsi:type="dcterms:W3CDTF">2019-02-05T14:49:00Z</dcterms:modified>
</cp:coreProperties>
</file>